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r>
        <w:t>Survival Analysis</w:t>
      </w:r>
    </w:p>
    <w:p w:rsidR="005165D4" w:rsidP="005165D4">
      <w:pPr>
        <w:jc w:val="center"/>
      </w:pPr>
      <w:r>
        <w:t>Name</w:t>
      </w:r>
    </w:p>
    <w:p w:rsidR="005165D4" w:rsidP="005165D4">
      <w:pPr>
        <w:jc w:val="center"/>
      </w:pPr>
      <w:r>
        <w:t>Institution</w:t>
      </w:r>
    </w:p>
    <w:p w:rsidR="005165D4" w:rsidP="005165D4">
      <w:pPr>
        <w:jc w:val="center"/>
      </w:pPr>
      <w:r>
        <w:t>Date</w:t>
      </w: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p>
    <w:p w:rsidR="005165D4" w:rsidP="005165D4">
      <w:pPr>
        <w:jc w:val="center"/>
      </w:pPr>
      <w:r>
        <w:t xml:space="preserve">Survival Analysis </w:t>
      </w:r>
    </w:p>
    <w:p w:rsidR="00C36482" w:rsidP="005165D4">
      <w:pPr>
        <w:spacing w:line="480" w:lineRule="auto"/>
        <w:ind w:firstLine="720"/>
      </w:pPr>
      <w:r>
        <w:t xml:space="preserve">Survival analysis offers a comprehensive understanding of the efficacy of a given intervention. In experimental studies, there is a crucial need to evaluate the success of a given intervention. The treatment intervention is assessed within a given time where an outcome is determined. The outcome in this context is either the subject dies or stays alive until the curve is flattened. The assessment of time taken to reach an outcome offers more comprehensive knowledge on the efficiency of an intervention that is being assessed. </w:t>
      </w:r>
      <w:r w:rsidR="004B3715">
        <w:t xml:space="preserve">In some cases, both mortality patterns and treatment outcomes can be investigated simultaneously. Time to event is essential in time series analysis since it presents a more accurate representation of the specific concepts that are being assessed. </w:t>
      </w:r>
    </w:p>
    <w:p w:rsidR="004B3715" w:rsidP="005165D4">
      <w:pPr>
        <w:spacing w:line="480" w:lineRule="auto"/>
        <w:ind w:firstLine="720"/>
      </w:pPr>
      <w:r w:rsidRPr="004B3715">
        <w:t>Therefore, the study seeks to determine whether the risk of dying is associated with the patient treatment group in this context. Thus, it is imperative to conduct survival analysis in determining the efficiency of a given treatment as well as investigating mortality patterns.</w:t>
      </w:r>
      <w:r>
        <w:t xml:space="preserve"> The assumption has been effectively outlined, which forms the basis of </w:t>
      </w:r>
      <w:r w:rsidR="00496622">
        <w:t>analysis.  Cox proportional hazards regression model is essential in analyzing the effects of risk factors on survival</w:t>
      </w:r>
      <w:r w:rsidR="005165D4">
        <w:t xml:space="preserve"> (</w:t>
      </w:r>
      <w:r w:rsidRPr="005165D4" w:rsidR="005165D4">
        <w:t xml:space="preserve">Austin, 2017). </w:t>
      </w:r>
      <w:r w:rsidR="0025751A">
        <w:t xml:space="preserve">The time aspect that is investigated in this case is serial time in years; the status is the event occurring. The independent variable that is assessed in this case is the treatment intervention. The treatment intervention is grouped </w:t>
      </w:r>
      <w:r w:rsidR="00EA57DA">
        <w:t>into either</w:t>
      </w:r>
      <w:r w:rsidR="0025751A">
        <w:t xml:space="preserve"> chemo or placebo (control group).</w:t>
      </w:r>
    </w:p>
    <w:p w:rsidR="0025751A">
      <w:r>
        <w:t xml:space="preserve">Results </w:t>
      </w:r>
    </w:p>
    <w:p w:rsidR="0025751A" w:rsidRPr="0025751A" w:rsidP="0025751A">
      <w:pPr>
        <w:autoSpaceDE w:val="0"/>
        <w:autoSpaceDN w:val="0"/>
        <w:adjustRightInd w:val="0"/>
        <w:spacing w:after="0" w:line="240" w:lineRule="auto"/>
        <w:rPr>
          <w:rFonts w:cs="Times New Roman"/>
          <w:szCs w:val="24"/>
        </w:rPr>
      </w:pPr>
    </w:p>
    <w:tbl>
      <w:tblPr>
        <w:tblW w:w="69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000"/>
      </w:tblPr>
      <w:tblGrid>
        <w:gridCol w:w="2460"/>
        <w:gridCol w:w="2460"/>
        <w:gridCol w:w="1029"/>
        <w:gridCol w:w="1045"/>
      </w:tblGrid>
      <w:tr>
        <w:tblPrEx>
          <w:tblW w:w="69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000"/>
        </w:tblPrEx>
        <w:trPr>
          <w:cantSplit/>
        </w:trPr>
        <w:tc>
          <w:tcPr>
            <w:tcW w:w="6992" w:type="dxa"/>
            <w:gridSpan w:val="4"/>
            <w:tcBorders>
              <w:top w:val="nil"/>
              <w:left w:val="nil"/>
              <w:bottom w:val="nil"/>
              <w:right w:val="nil"/>
            </w:tcBorders>
            <w:shd w:val="clear" w:color="auto" w:fill="FFFFFF"/>
            <w:vAlign w:val="center"/>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i/>
                <w:iCs/>
                <w:color w:val="000000"/>
                <w:szCs w:val="24"/>
              </w:rPr>
              <w:t>Case Processing Summary</w:t>
            </w:r>
          </w:p>
        </w:tc>
      </w:tr>
      <w:tr>
        <w:tblPrEx>
          <w:tblW w:w="6994" w:type="dxa"/>
          <w:tblLayout w:type="fixed"/>
          <w:tblCellMar>
            <w:top w:w="0" w:type="dxa"/>
            <w:left w:w="0" w:type="dxa"/>
            <w:bottom w:w="0" w:type="dxa"/>
            <w:right w:w="0" w:type="dxa"/>
          </w:tblCellMar>
          <w:tblLook w:val="0000"/>
        </w:tblPrEx>
        <w:trPr>
          <w:cantSplit/>
        </w:trPr>
        <w:tc>
          <w:tcPr>
            <w:tcW w:w="4918" w:type="dxa"/>
            <w:gridSpan w:val="2"/>
            <w:tcBorders>
              <w:left w:val="nil"/>
              <w:right w:val="nil"/>
            </w:tcBorders>
            <w:shd w:val="clear" w:color="auto" w:fill="FFFFFF"/>
            <w:vAlign w:val="bottom"/>
          </w:tcPr>
          <w:p w:rsidR="0025751A" w:rsidRPr="0025751A" w:rsidP="0025751A">
            <w:pPr>
              <w:autoSpaceDE w:val="0"/>
              <w:autoSpaceDN w:val="0"/>
              <w:adjustRightInd w:val="0"/>
              <w:spacing w:after="0" w:line="240" w:lineRule="auto"/>
              <w:rPr>
                <w:rFonts w:cs="Times New Roman"/>
                <w:szCs w:val="24"/>
              </w:rPr>
            </w:pPr>
          </w:p>
        </w:tc>
        <w:tc>
          <w:tcPr>
            <w:tcW w:w="1029" w:type="dxa"/>
            <w:tcBorders>
              <w:left w:val="nil"/>
              <w:right w:val="nil"/>
            </w:tcBorders>
            <w:shd w:val="clear" w:color="auto" w:fill="FFFFFF"/>
            <w:vAlign w:val="bottom"/>
          </w:tcPr>
          <w:p w:rsidR="0025751A" w:rsidRPr="0025751A" w:rsidP="0025751A">
            <w:pPr>
              <w:autoSpaceDE w:val="0"/>
              <w:autoSpaceDN w:val="0"/>
              <w:adjustRightInd w:val="0"/>
              <w:spacing w:after="0" w:line="320" w:lineRule="atLeast"/>
              <w:ind w:left="60" w:right="60"/>
              <w:jc w:val="center"/>
              <w:rPr>
                <w:rFonts w:cs="Times New Roman"/>
                <w:color w:val="000000"/>
                <w:szCs w:val="24"/>
              </w:rPr>
            </w:pPr>
            <w:r w:rsidRPr="0025751A">
              <w:rPr>
                <w:rFonts w:cs="Times New Roman"/>
                <w:color w:val="000000"/>
                <w:szCs w:val="24"/>
              </w:rPr>
              <w:t>N</w:t>
            </w:r>
          </w:p>
        </w:tc>
        <w:tc>
          <w:tcPr>
            <w:tcW w:w="1045" w:type="dxa"/>
            <w:tcBorders>
              <w:left w:val="nil"/>
              <w:right w:val="nil"/>
            </w:tcBorders>
            <w:shd w:val="clear" w:color="auto" w:fill="FFFFFF"/>
            <w:vAlign w:val="bottom"/>
          </w:tcPr>
          <w:p w:rsidR="0025751A" w:rsidRPr="0025751A" w:rsidP="0025751A">
            <w:pPr>
              <w:autoSpaceDE w:val="0"/>
              <w:autoSpaceDN w:val="0"/>
              <w:adjustRightInd w:val="0"/>
              <w:spacing w:after="0" w:line="320" w:lineRule="atLeast"/>
              <w:ind w:left="60" w:right="60"/>
              <w:jc w:val="center"/>
              <w:rPr>
                <w:rFonts w:cs="Times New Roman"/>
                <w:color w:val="000000"/>
                <w:szCs w:val="24"/>
              </w:rPr>
            </w:pPr>
            <w:r w:rsidRPr="0025751A">
              <w:rPr>
                <w:rFonts w:cs="Times New Roman"/>
                <w:color w:val="000000"/>
                <w:szCs w:val="24"/>
              </w:rPr>
              <w:t>Percent</w:t>
            </w:r>
          </w:p>
        </w:tc>
      </w:tr>
      <w:tr>
        <w:tblPrEx>
          <w:tblW w:w="6994" w:type="dxa"/>
          <w:tblLayout w:type="fixed"/>
          <w:tblCellMar>
            <w:top w:w="0" w:type="dxa"/>
            <w:left w:w="0" w:type="dxa"/>
            <w:bottom w:w="0" w:type="dxa"/>
            <w:right w:w="0" w:type="dxa"/>
          </w:tblCellMar>
          <w:tblLook w:val="0000"/>
        </w:tblPrEx>
        <w:trPr>
          <w:cantSplit/>
        </w:trPr>
        <w:tc>
          <w:tcPr>
            <w:tcW w:w="2459" w:type="dxa"/>
            <w:vMerge w:val="restart"/>
            <w:tcBorders>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Cases available in analysis</w:t>
            </w:r>
          </w:p>
        </w:tc>
        <w:tc>
          <w:tcPr>
            <w:tcW w:w="2459" w:type="dxa"/>
            <w:tcBorders>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Event</w:t>
            </w:r>
          </w:p>
        </w:tc>
        <w:tc>
          <w:tcPr>
            <w:tcW w:w="1029" w:type="dxa"/>
            <w:tcBorders>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10</w:t>
            </w:r>
          </w:p>
        </w:tc>
        <w:tc>
          <w:tcPr>
            <w:tcW w:w="1045" w:type="dxa"/>
            <w:tcBorders>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83.3%</w:t>
            </w:r>
          </w:p>
        </w:tc>
      </w:tr>
      <w:tr>
        <w:tblPrEx>
          <w:tblW w:w="6994" w:type="dxa"/>
          <w:tblLayout w:type="fixed"/>
          <w:tblCellMar>
            <w:top w:w="0" w:type="dxa"/>
            <w:left w:w="0" w:type="dxa"/>
            <w:bottom w:w="0" w:type="dxa"/>
            <w:right w:w="0" w:type="dxa"/>
          </w:tblCellMar>
          <w:tblLook w:val="0000"/>
        </w:tblPrEx>
        <w:trPr>
          <w:cantSplit/>
        </w:trPr>
        <w:tc>
          <w:tcPr>
            <w:tcW w:w="2459" w:type="dxa"/>
            <w:vMerge/>
            <w:tcBorders>
              <w:left w:val="nil"/>
              <w:bottom w:val="nil"/>
              <w:right w:val="nil"/>
            </w:tcBorders>
            <w:shd w:val="clear" w:color="auto" w:fill="FFFFFF"/>
          </w:tcPr>
          <w:p w:rsidR="0025751A" w:rsidRPr="0025751A" w:rsidP="0025751A">
            <w:pPr>
              <w:autoSpaceDE w:val="0"/>
              <w:autoSpaceDN w:val="0"/>
              <w:adjustRightInd w:val="0"/>
              <w:spacing w:after="0" w:line="240" w:lineRule="auto"/>
              <w:rPr>
                <w:rFonts w:cs="Times New Roman"/>
                <w:color w:val="000000"/>
                <w:szCs w:val="24"/>
              </w:rPr>
            </w:pPr>
          </w:p>
        </w:tc>
        <w:tc>
          <w:tcPr>
            <w:tcW w:w="245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Censored</w:t>
            </w:r>
          </w:p>
        </w:tc>
        <w:tc>
          <w:tcPr>
            <w:tcW w:w="102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2</w:t>
            </w:r>
          </w:p>
        </w:tc>
        <w:tc>
          <w:tcPr>
            <w:tcW w:w="1045"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16.7%</w:t>
            </w:r>
          </w:p>
        </w:tc>
      </w:tr>
      <w:tr>
        <w:tblPrEx>
          <w:tblW w:w="6994" w:type="dxa"/>
          <w:tblLayout w:type="fixed"/>
          <w:tblCellMar>
            <w:top w:w="0" w:type="dxa"/>
            <w:left w:w="0" w:type="dxa"/>
            <w:bottom w:w="0" w:type="dxa"/>
            <w:right w:w="0" w:type="dxa"/>
          </w:tblCellMar>
          <w:tblLook w:val="0000"/>
        </w:tblPrEx>
        <w:trPr>
          <w:cantSplit/>
        </w:trPr>
        <w:tc>
          <w:tcPr>
            <w:tcW w:w="2459" w:type="dxa"/>
            <w:vMerge/>
            <w:tcBorders>
              <w:left w:val="nil"/>
              <w:bottom w:val="nil"/>
              <w:right w:val="nil"/>
            </w:tcBorders>
            <w:shd w:val="clear" w:color="auto" w:fill="FFFFFF"/>
          </w:tcPr>
          <w:p w:rsidR="0025751A" w:rsidRPr="0025751A" w:rsidP="0025751A">
            <w:pPr>
              <w:autoSpaceDE w:val="0"/>
              <w:autoSpaceDN w:val="0"/>
              <w:adjustRightInd w:val="0"/>
              <w:spacing w:after="0" w:line="240" w:lineRule="auto"/>
              <w:rPr>
                <w:rFonts w:cs="Times New Roman"/>
                <w:color w:val="000000"/>
                <w:szCs w:val="24"/>
              </w:rPr>
            </w:pPr>
          </w:p>
        </w:tc>
        <w:tc>
          <w:tcPr>
            <w:tcW w:w="245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Total</w:t>
            </w:r>
          </w:p>
        </w:tc>
        <w:tc>
          <w:tcPr>
            <w:tcW w:w="102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12</w:t>
            </w:r>
          </w:p>
        </w:tc>
        <w:tc>
          <w:tcPr>
            <w:tcW w:w="1045"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100.0%</w:t>
            </w:r>
          </w:p>
        </w:tc>
      </w:tr>
      <w:tr>
        <w:tblPrEx>
          <w:tblW w:w="6994" w:type="dxa"/>
          <w:tblLayout w:type="fixed"/>
          <w:tblCellMar>
            <w:top w:w="0" w:type="dxa"/>
            <w:left w:w="0" w:type="dxa"/>
            <w:bottom w:w="0" w:type="dxa"/>
            <w:right w:w="0" w:type="dxa"/>
          </w:tblCellMar>
          <w:tblLook w:val="0000"/>
        </w:tblPrEx>
        <w:trPr>
          <w:cantSplit/>
        </w:trPr>
        <w:tc>
          <w:tcPr>
            <w:tcW w:w="2459" w:type="dxa"/>
            <w:vMerge w:val="restart"/>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Cases dropped</w:t>
            </w:r>
          </w:p>
        </w:tc>
        <w:tc>
          <w:tcPr>
            <w:tcW w:w="245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Cases with missing values</w:t>
            </w:r>
          </w:p>
        </w:tc>
        <w:tc>
          <w:tcPr>
            <w:tcW w:w="102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0</w:t>
            </w:r>
          </w:p>
        </w:tc>
        <w:tc>
          <w:tcPr>
            <w:tcW w:w="1045"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0.0%</w:t>
            </w:r>
          </w:p>
        </w:tc>
      </w:tr>
      <w:tr>
        <w:tblPrEx>
          <w:tblW w:w="6994" w:type="dxa"/>
          <w:tblLayout w:type="fixed"/>
          <w:tblCellMar>
            <w:top w:w="0" w:type="dxa"/>
            <w:left w:w="0" w:type="dxa"/>
            <w:bottom w:w="0" w:type="dxa"/>
            <w:right w:w="0" w:type="dxa"/>
          </w:tblCellMar>
          <w:tblLook w:val="0000"/>
        </w:tblPrEx>
        <w:trPr>
          <w:cantSplit/>
        </w:trPr>
        <w:tc>
          <w:tcPr>
            <w:tcW w:w="2459" w:type="dxa"/>
            <w:vMerge/>
            <w:tcBorders>
              <w:top w:val="nil"/>
              <w:left w:val="nil"/>
              <w:bottom w:val="nil"/>
              <w:right w:val="nil"/>
            </w:tcBorders>
            <w:shd w:val="clear" w:color="auto" w:fill="FFFFFF"/>
          </w:tcPr>
          <w:p w:rsidR="0025751A" w:rsidRPr="0025751A" w:rsidP="0025751A">
            <w:pPr>
              <w:autoSpaceDE w:val="0"/>
              <w:autoSpaceDN w:val="0"/>
              <w:adjustRightInd w:val="0"/>
              <w:spacing w:after="0" w:line="240" w:lineRule="auto"/>
              <w:rPr>
                <w:rFonts w:cs="Times New Roman"/>
                <w:color w:val="000000"/>
                <w:szCs w:val="24"/>
              </w:rPr>
            </w:pPr>
          </w:p>
        </w:tc>
        <w:tc>
          <w:tcPr>
            <w:tcW w:w="245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Cases with negative time</w:t>
            </w:r>
          </w:p>
        </w:tc>
        <w:tc>
          <w:tcPr>
            <w:tcW w:w="102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0</w:t>
            </w:r>
          </w:p>
        </w:tc>
        <w:tc>
          <w:tcPr>
            <w:tcW w:w="1045"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0.0%</w:t>
            </w:r>
          </w:p>
        </w:tc>
      </w:tr>
      <w:tr>
        <w:tblPrEx>
          <w:tblW w:w="6994" w:type="dxa"/>
          <w:tblLayout w:type="fixed"/>
          <w:tblCellMar>
            <w:top w:w="0" w:type="dxa"/>
            <w:left w:w="0" w:type="dxa"/>
            <w:bottom w:w="0" w:type="dxa"/>
            <w:right w:w="0" w:type="dxa"/>
          </w:tblCellMar>
          <w:tblLook w:val="0000"/>
        </w:tblPrEx>
        <w:trPr>
          <w:cantSplit/>
        </w:trPr>
        <w:tc>
          <w:tcPr>
            <w:tcW w:w="2459" w:type="dxa"/>
            <w:vMerge/>
            <w:tcBorders>
              <w:top w:val="nil"/>
              <w:left w:val="nil"/>
              <w:bottom w:val="nil"/>
              <w:right w:val="nil"/>
            </w:tcBorders>
            <w:shd w:val="clear" w:color="auto" w:fill="FFFFFF"/>
          </w:tcPr>
          <w:p w:rsidR="0025751A" w:rsidRPr="0025751A" w:rsidP="0025751A">
            <w:pPr>
              <w:autoSpaceDE w:val="0"/>
              <w:autoSpaceDN w:val="0"/>
              <w:adjustRightInd w:val="0"/>
              <w:spacing w:after="0" w:line="240" w:lineRule="auto"/>
              <w:rPr>
                <w:rFonts w:cs="Times New Roman"/>
                <w:color w:val="000000"/>
                <w:szCs w:val="24"/>
              </w:rPr>
            </w:pPr>
          </w:p>
        </w:tc>
        <w:tc>
          <w:tcPr>
            <w:tcW w:w="245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Censored cases before the earliest event in a stratum</w:t>
            </w:r>
          </w:p>
        </w:tc>
        <w:tc>
          <w:tcPr>
            <w:tcW w:w="102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0</w:t>
            </w:r>
          </w:p>
        </w:tc>
        <w:tc>
          <w:tcPr>
            <w:tcW w:w="1045"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0.0%</w:t>
            </w:r>
          </w:p>
        </w:tc>
      </w:tr>
      <w:tr>
        <w:tblPrEx>
          <w:tblW w:w="6994" w:type="dxa"/>
          <w:tblLayout w:type="fixed"/>
          <w:tblCellMar>
            <w:top w:w="0" w:type="dxa"/>
            <w:left w:w="0" w:type="dxa"/>
            <w:bottom w:w="0" w:type="dxa"/>
            <w:right w:w="0" w:type="dxa"/>
          </w:tblCellMar>
          <w:tblLook w:val="0000"/>
        </w:tblPrEx>
        <w:trPr>
          <w:cantSplit/>
        </w:trPr>
        <w:tc>
          <w:tcPr>
            <w:tcW w:w="2459" w:type="dxa"/>
            <w:vMerge/>
            <w:tcBorders>
              <w:top w:val="nil"/>
              <w:left w:val="nil"/>
              <w:bottom w:val="nil"/>
              <w:right w:val="nil"/>
            </w:tcBorders>
            <w:shd w:val="clear" w:color="auto" w:fill="FFFFFF"/>
          </w:tcPr>
          <w:p w:rsidR="0025751A" w:rsidRPr="0025751A" w:rsidP="0025751A">
            <w:pPr>
              <w:autoSpaceDE w:val="0"/>
              <w:autoSpaceDN w:val="0"/>
              <w:adjustRightInd w:val="0"/>
              <w:spacing w:after="0" w:line="240" w:lineRule="auto"/>
              <w:rPr>
                <w:rFonts w:cs="Times New Roman"/>
                <w:color w:val="000000"/>
                <w:szCs w:val="24"/>
              </w:rPr>
            </w:pPr>
          </w:p>
        </w:tc>
        <w:tc>
          <w:tcPr>
            <w:tcW w:w="245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Total</w:t>
            </w:r>
          </w:p>
        </w:tc>
        <w:tc>
          <w:tcPr>
            <w:tcW w:w="1029"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0</w:t>
            </w:r>
          </w:p>
        </w:tc>
        <w:tc>
          <w:tcPr>
            <w:tcW w:w="1045" w:type="dxa"/>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0.0%</w:t>
            </w:r>
          </w:p>
        </w:tc>
      </w:tr>
      <w:tr>
        <w:tblPrEx>
          <w:tblW w:w="6994" w:type="dxa"/>
          <w:tblLayout w:type="fixed"/>
          <w:tblCellMar>
            <w:top w:w="0" w:type="dxa"/>
            <w:left w:w="0" w:type="dxa"/>
            <w:bottom w:w="0" w:type="dxa"/>
            <w:right w:w="0" w:type="dxa"/>
          </w:tblCellMar>
          <w:tblLook w:val="0000"/>
        </w:tblPrEx>
        <w:trPr>
          <w:cantSplit/>
        </w:trPr>
        <w:tc>
          <w:tcPr>
            <w:tcW w:w="4918" w:type="dxa"/>
            <w:gridSpan w:val="2"/>
            <w:tcBorders>
              <w:top w:val="nil"/>
              <w:left w:val="nil"/>
              <w:right w:val="nil"/>
            </w:tcBorders>
            <w:shd w:val="clear" w:color="auto" w:fill="FFFFFF"/>
          </w:tcPr>
          <w:p w:rsidR="0025751A" w:rsidRPr="0025751A" w:rsidP="0025751A">
            <w:pPr>
              <w:autoSpaceDE w:val="0"/>
              <w:autoSpaceDN w:val="0"/>
              <w:adjustRightInd w:val="0"/>
              <w:spacing w:after="0" w:line="320" w:lineRule="atLeast"/>
              <w:ind w:left="60" w:right="60"/>
              <w:rPr>
                <w:rFonts w:cs="Times New Roman"/>
                <w:color w:val="000000"/>
                <w:szCs w:val="24"/>
              </w:rPr>
            </w:pPr>
            <w:r w:rsidRPr="0025751A">
              <w:rPr>
                <w:rFonts w:cs="Times New Roman"/>
                <w:color w:val="000000"/>
                <w:szCs w:val="24"/>
              </w:rPr>
              <w:t>Total</w:t>
            </w:r>
          </w:p>
        </w:tc>
        <w:tc>
          <w:tcPr>
            <w:tcW w:w="1029" w:type="dxa"/>
            <w:tcBorders>
              <w:top w:val="nil"/>
              <w:left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12</w:t>
            </w:r>
          </w:p>
        </w:tc>
        <w:tc>
          <w:tcPr>
            <w:tcW w:w="1045" w:type="dxa"/>
            <w:tcBorders>
              <w:top w:val="nil"/>
              <w:left w:val="nil"/>
              <w:right w:val="nil"/>
            </w:tcBorders>
            <w:shd w:val="clear" w:color="auto" w:fill="FFFFFF"/>
          </w:tcPr>
          <w:p w:rsidR="0025751A" w:rsidRPr="0025751A" w:rsidP="0025751A">
            <w:pPr>
              <w:autoSpaceDE w:val="0"/>
              <w:autoSpaceDN w:val="0"/>
              <w:adjustRightInd w:val="0"/>
              <w:spacing w:after="0" w:line="320" w:lineRule="atLeast"/>
              <w:ind w:left="60" w:right="60"/>
              <w:jc w:val="right"/>
              <w:rPr>
                <w:rFonts w:cs="Times New Roman"/>
                <w:color w:val="000000"/>
                <w:szCs w:val="24"/>
              </w:rPr>
            </w:pPr>
            <w:r w:rsidRPr="0025751A">
              <w:rPr>
                <w:rFonts w:cs="Times New Roman"/>
                <w:color w:val="000000"/>
                <w:szCs w:val="24"/>
              </w:rPr>
              <w:t>100.0%</w:t>
            </w:r>
          </w:p>
        </w:tc>
      </w:tr>
      <w:tr>
        <w:tblPrEx>
          <w:tblW w:w="6994" w:type="dxa"/>
          <w:tblLayout w:type="fixed"/>
          <w:tblCellMar>
            <w:top w:w="0" w:type="dxa"/>
            <w:left w:w="0" w:type="dxa"/>
            <w:bottom w:w="0" w:type="dxa"/>
            <w:right w:w="0" w:type="dxa"/>
          </w:tblCellMar>
          <w:tblLook w:val="0000"/>
        </w:tblPrEx>
        <w:trPr>
          <w:cantSplit/>
        </w:trPr>
        <w:tc>
          <w:tcPr>
            <w:tcW w:w="6992" w:type="dxa"/>
            <w:gridSpan w:val="4"/>
            <w:tcBorders>
              <w:top w:val="nil"/>
              <w:left w:val="nil"/>
              <w:bottom w:val="nil"/>
              <w:right w:val="nil"/>
            </w:tcBorders>
            <w:shd w:val="clear" w:color="auto" w:fill="FFFFFF"/>
          </w:tcPr>
          <w:p w:rsidR="0025751A" w:rsidRPr="0025751A" w:rsidP="0025751A">
            <w:pPr>
              <w:autoSpaceDE w:val="0"/>
              <w:autoSpaceDN w:val="0"/>
              <w:adjustRightInd w:val="0"/>
              <w:spacing w:after="0" w:line="320" w:lineRule="atLeast"/>
              <w:ind w:left="60" w:right="60"/>
              <w:rPr>
                <w:rFonts w:ascii="Trebuchet MS" w:hAnsi="Trebuchet MS" w:cs="Trebuchet MS"/>
                <w:color w:val="000000"/>
                <w:szCs w:val="24"/>
              </w:rPr>
            </w:pPr>
            <w:r w:rsidRPr="0025751A">
              <w:rPr>
                <w:rFonts w:ascii="Trebuchet MS" w:hAnsi="Trebuchet MS" w:cs="Trebuchet MS"/>
                <w:color w:val="000000"/>
                <w:szCs w:val="24"/>
              </w:rPr>
              <w:t>a. Dependent Variable: Serial Time (years)</w:t>
            </w:r>
          </w:p>
        </w:tc>
      </w:tr>
    </w:tbl>
    <w:p w:rsidR="0025751A" w:rsidRPr="0025751A" w:rsidP="0025751A">
      <w:pPr>
        <w:autoSpaceDE w:val="0"/>
        <w:autoSpaceDN w:val="0"/>
        <w:adjustRightInd w:val="0"/>
        <w:spacing w:after="0" w:line="400" w:lineRule="atLeast"/>
        <w:rPr>
          <w:rFonts w:cs="Times New Roman"/>
          <w:szCs w:val="24"/>
        </w:rPr>
      </w:pPr>
    </w:p>
    <w:p w:rsidR="0025751A">
      <w:r>
        <w:t xml:space="preserve">The </w:t>
      </w:r>
      <w:r w:rsidR="00C24DED">
        <w:t>analysis shows that there were 2 individuals who were still alive by the end of the study, representing 16.7%.</w:t>
      </w:r>
    </w:p>
    <w:p w:rsidR="00C24DED" w:rsidRPr="00C24DED" w:rsidP="00C24DED"/>
    <w:tbl>
      <w:tblPr>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000"/>
      </w:tblPr>
      <w:tblGrid>
        <w:gridCol w:w="1194"/>
        <w:gridCol w:w="1070"/>
        <w:gridCol w:w="833"/>
        <w:gridCol w:w="833"/>
        <w:gridCol w:w="1071"/>
        <w:gridCol w:w="834"/>
        <w:gridCol w:w="834"/>
        <w:gridCol w:w="1071"/>
        <w:gridCol w:w="834"/>
        <w:gridCol w:w="834"/>
      </w:tblGrid>
      <w:tr>
        <w:tblPrEx>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000"/>
        </w:tblPrEx>
        <w:trPr>
          <w:cantSplit/>
        </w:trPr>
        <w:tc>
          <w:tcPr>
            <w:tcW w:w="9402" w:type="dxa"/>
            <w:gridSpan w:val="10"/>
            <w:tcBorders>
              <w:top w:val="nil"/>
              <w:left w:val="nil"/>
              <w:bottom w:val="nil"/>
              <w:right w:val="nil"/>
            </w:tcBorders>
            <w:shd w:val="clear" w:color="auto" w:fill="FFFFFF"/>
            <w:vAlign w:val="center"/>
          </w:tcPr>
          <w:p w:rsidR="00C24DED" w:rsidRPr="00C24DED" w:rsidP="00C24DED">
            <w:r w:rsidRPr="00C24DED">
              <w:rPr>
                <w:i/>
                <w:iCs/>
              </w:rPr>
              <w:t>Omnibus Tests of Model Coefficients</w:t>
            </w:r>
          </w:p>
        </w:tc>
      </w:tr>
      <w:tr>
        <w:tblPrEx>
          <w:tblW w:w="9408" w:type="dxa"/>
          <w:tblLayout w:type="fixed"/>
          <w:tblCellMar>
            <w:top w:w="0" w:type="dxa"/>
            <w:left w:w="0" w:type="dxa"/>
            <w:bottom w:w="0" w:type="dxa"/>
            <w:right w:w="0" w:type="dxa"/>
          </w:tblCellMar>
          <w:tblLook w:val="0000"/>
        </w:tblPrEx>
        <w:trPr>
          <w:cantSplit/>
        </w:trPr>
        <w:tc>
          <w:tcPr>
            <w:tcW w:w="1194" w:type="dxa"/>
            <w:vMerge w:val="restart"/>
            <w:tcBorders>
              <w:left w:val="nil"/>
              <w:right w:val="nil"/>
            </w:tcBorders>
            <w:shd w:val="clear" w:color="auto" w:fill="FFFFFF"/>
            <w:vAlign w:val="bottom"/>
          </w:tcPr>
          <w:p w:rsidR="00C24DED" w:rsidRPr="00C24DED" w:rsidP="00C24DED">
            <w:r w:rsidRPr="00C24DED">
              <w:t>-2 Log Likelihood</w:t>
            </w:r>
          </w:p>
        </w:tc>
        <w:tc>
          <w:tcPr>
            <w:tcW w:w="2736" w:type="dxa"/>
            <w:gridSpan w:val="3"/>
            <w:tcBorders>
              <w:left w:val="nil"/>
              <w:right w:val="nil"/>
            </w:tcBorders>
            <w:shd w:val="clear" w:color="auto" w:fill="FFFFFF"/>
            <w:vAlign w:val="bottom"/>
          </w:tcPr>
          <w:p w:rsidR="00C24DED" w:rsidRPr="00C24DED" w:rsidP="00C24DED">
            <w:r w:rsidRPr="00C24DED">
              <w:t>Overall (score)</w:t>
            </w:r>
          </w:p>
        </w:tc>
        <w:tc>
          <w:tcPr>
            <w:tcW w:w="2736" w:type="dxa"/>
            <w:gridSpan w:val="3"/>
            <w:tcBorders>
              <w:left w:val="nil"/>
              <w:right w:val="nil"/>
            </w:tcBorders>
            <w:shd w:val="clear" w:color="auto" w:fill="FFFFFF"/>
            <w:vAlign w:val="bottom"/>
          </w:tcPr>
          <w:p w:rsidR="00C24DED" w:rsidRPr="00C24DED" w:rsidP="00C24DED">
            <w:r w:rsidRPr="00C24DED">
              <w:t>Change From Previous Step</w:t>
            </w:r>
          </w:p>
        </w:tc>
        <w:tc>
          <w:tcPr>
            <w:tcW w:w="2736" w:type="dxa"/>
            <w:gridSpan w:val="3"/>
            <w:tcBorders>
              <w:left w:val="nil"/>
              <w:right w:val="nil"/>
            </w:tcBorders>
            <w:shd w:val="clear" w:color="auto" w:fill="FFFFFF"/>
            <w:vAlign w:val="bottom"/>
          </w:tcPr>
          <w:p w:rsidR="00C24DED" w:rsidRPr="00C24DED" w:rsidP="00C24DED">
            <w:r w:rsidRPr="00C24DED">
              <w:t>Change From Previous Block</w:t>
            </w:r>
          </w:p>
        </w:tc>
      </w:tr>
      <w:tr>
        <w:tblPrEx>
          <w:tblW w:w="9408" w:type="dxa"/>
          <w:tblLayout w:type="fixed"/>
          <w:tblCellMar>
            <w:top w:w="0" w:type="dxa"/>
            <w:left w:w="0" w:type="dxa"/>
            <w:bottom w:w="0" w:type="dxa"/>
            <w:right w:w="0" w:type="dxa"/>
          </w:tblCellMar>
          <w:tblLook w:val="0000"/>
        </w:tblPrEx>
        <w:trPr>
          <w:cantSplit/>
        </w:trPr>
        <w:tc>
          <w:tcPr>
            <w:tcW w:w="1194" w:type="dxa"/>
            <w:vMerge/>
            <w:tcBorders>
              <w:left w:val="nil"/>
              <w:right w:val="nil"/>
            </w:tcBorders>
            <w:shd w:val="clear" w:color="auto" w:fill="FFFFFF"/>
            <w:vAlign w:val="bottom"/>
          </w:tcPr>
          <w:p w:rsidR="00C24DED" w:rsidRPr="00C24DED" w:rsidP="00C24DED"/>
        </w:tc>
        <w:tc>
          <w:tcPr>
            <w:tcW w:w="1070" w:type="dxa"/>
            <w:tcBorders>
              <w:left w:val="nil"/>
              <w:right w:val="nil"/>
            </w:tcBorders>
            <w:shd w:val="clear" w:color="auto" w:fill="FFFFFF"/>
            <w:vAlign w:val="bottom"/>
          </w:tcPr>
          <w:p w:rsidR="00C24DED" w:rsidRPr="00C24DED" w:rsidP="00C24DED">
            <w:r w:rsidRPr="00C24DED">
              <w:t>Chi-square</w:t>
            </w:r>
          </w:p>
        </w:tc>
        <w:tc>
          <w:tcPr>
            <w:tcW w:w="833" w:type="dxa"/>
            <w:tcBorders>
              <w:left w:val="nil"/>
              <w:right w:val="nil"/>
            </w:tcBorders>
            <w:shd w:val="clear" w:color="auto" w:fill="FFFFFF"/>
            <w:vAlign w:val="bottom"/>
          </w:tcPr>
          <w:p w:rsidR="00C24DED" w:rsidRPr="00C24DED" w:rsidP="00C24DED">
            <w:r w:rsidRPr="00C24DED">
              <w:t>df</w:t>
            </w:r>
          </w:p>
        </w:tc>
        <w:tc>
          <w:tcPr>
            <w:tcW w:w="833" w:type="dxa"/>
            <w:tcBorders>
              <w:left w:val="nil"/>
              <w:right w:val="nil"/>
            </w:tcBorders>
            <w:shd w:val="clear" w:color="auto" w:fill="FFFFFF"/>
            <w:vAlign w:val="bottom"/>
          </w:tcPr>
          <w:p w:rsidR="00C24DED" w:rsidRPr="00C24DED" w:rsidP="00C24DED">
            <w:r w:rsidRPr="00C24DED">
              <w:t>Sig.</w:t>
            </w:r>
          </w:p>
        </w:tc>
        <w:tc>
          <w:tcPr>
            <w:tcW w:w="1070" w:type="dxa"/>
            <w:tcBorders>
              <w:left w:val="nil"/>
              <w:right w:val="nil"/>
            </w:tcBorders>
            <w:shd w:val="clear" w:color="auto" w:fill="FFFFFF"/>
            <w:vAlign w:val="bottom"/>
          </w:tcPr>
          <w:p w:rsidR="00C24DED" w:rsidRPr="00C24DED" w:rsidP="00C24DED">
            <w:r w:rsidRPr="00C24DED">
              <w:t>Chi-square</w:t>
            </w:r>
          </w:p>
        </w:tc>
        <w:tc>
          <w:tcPr>
            <w:tcW w:w="833" w:type="dxa"/>
            <w:tcBorders>
              <w:left w:val="nil"/>
              <w:right w:val="nil"/>
            </w:tcBorders>
            <w:shd w:val="clear" w:color="auto" w:fill="FFFFFF"/>
            <w:vAlign w:val="bottom"/>
          </w:tcPr>
          <w:p w:rsidR="00C24DED" w:rsidRPr="00C24DED" w:rsidP="00C24DED">
            <w:r w:rsidRPr="00C24DED">
              <w:t>df</w:t>
            </w:r>
          </w:p>
        </w:tc>
        <w:tc>
          <w:tcPr>
            <w:tcW w:w="833" w:type="dxa"/>
            <w:tcBorders>
              <w:left w:val="nil"/>
              <w:right w:val="nil"/>
            </w:tcBorders>
            <w:shd w:val="clear" w:color="auto" w:fill="FFFFFF"/>
            <w:vAlign w:val="bottom"/>
          </w:tcPr>
          <w:p w:rsidR="00C24DED" w:rsidRPr="00C24DED" w:rsidP="00C24DED">
            <w:r w:rsidRPr="00C24DED">
              <w:t>Sig.</w:t>
            </w:r>
          </w:p>
        </w:tc>
        <w:tc>
          <w:tcPr>
            <w:tcW w:w="1070" w:type="dxa"/>
            <w:tcBorders>
              <w:left w:val="nil"/>
              <w:right w:val="nil"/>
            </w:tcBorders>
            <w:shd w:val="clear" w:color="auto" w:fill="FFFFFF"/>
            <w:vAlign w:val="bottom"/>
          </w:tcPr>
          <w:p w:rsidR="00C24DED" w:rsidRPr="00C24DED" w:rsidP="00C24DED">
            <w:r w:rsidRPr="00C24DED">
              <w:t>Chi-square</w:t>
            </w:r>
          </w:p>
        </w:tc>
        <w:tc>
          <w:tcPr>
            <w:tcW w:w="833" w:type="dxa"/>
            <w:tcBorders>
              <w:left w:val="nil"/>
              <w:right w:val="nil"/>
            </w:tcBorders>
            <w:shd w:val="clear" w:color="auto" w:fill="FFFFFF"/>
            <w:vAlign w:val="bottom"/>
          </w:tcPr>
          <w:p w:rsidR="00C24DED" w:rsidRPr="00C24DED" w:rsidP="00C24DED">
            <w:r w:rsidRPr="00C24DED">
              <w:t>df</w:t>
            </w:r>
          </w:p>
        </w:tc>
        <w:tc>
          <w:tcPr>
            <w:tcW w:w="833" w:type="dxa"/>
            <w:tcBorders>
              <w:left w:val="nil"/>
              <w:right w:val="nil"/>
            </w:tcBorders>
            <w:shd w:val="clear" w:color="auto" w:fill="FFFFFF"/>
            <w:vAlign w:val="bottom"/>
          </w:tcPr>
          <w:p w:rsidR="00C24DED" w:rsidRPr="00C24DED" w:rsidP="00C24DED">
            <w:r w:rsidRPr="00C24DED">
              <w:t>Sig.</w:t>
            </w:r>
          </w:p>
        </w:tc>
      </w:tr>
      <w:tr>
        <w:tblPrEx>
          <w:tblW w:w="9408" w:type="dxa"/>
          <w:tblLayout w:type="fixed"/>
          <w:tblCellMar>
            <w:top w:w="0" w:type="dxa"/>
            <w:left w:w="0" w:type="dxa"/>
            <w:bottom w:w="0" w:type="dxa"/>
            <w:right w:w="0" w:type="dxa"/>
          </w:tblCellMar>
          <w:tblLook w:val="0000"/>
        </w:tblPrEx>
        <w:trPr>
          <w:cantSplit/>
        </w:trPr>
        <w:tc>
          <w:tcPr>
            <w:tcW w:w="1194" w:type="dxa"/>
            <w:tcBorders>
              <w:left w:val="nil"/>
              <w:right w:val="nil"/>
            </w:tcBorders>
            <w:shd w:val="clear" w:color="auto" w:fill="FFFFFF"/>
          </w:tcPr>
          <w:p w:rsidR="00C24DED" w:rsidRPr="00C24DED" w:rsidP="00C24DED">
            <w:r w:rsidRPr="00C24DED">
              <w:t>33.653</w:t>
            </w:r>
          </w:p>
        </w:tc>
        <w:tc>
          <w:tcPr>
            <w:tcW w:w="1070" w:type="dxa"/>
            <w:tcBorders>
              <w:left w:val="nil"/>
              <w:right w:val="nil"/>
            </w:tcBorders>
            <w:shd w:val="clear" w:color="auto" w:fill="FFFFFF"/>
          </w:tcPr>
          <w:p w:rsidR="00C24DED" w:rsidRPr="00C24DED" w:rsidP="00C24DED">
            <w:r w:rsidRPr="00C24DED">
              <w:t>2.853</w:t>
            </w:r>
          </w:p>
        </w:tc>
        <w:tc>
          <w:tcPr>
            <w:tcW w:w="833" w:type="dxa"/>
            <w:tcBorders>
              <w:left w:val="nil"/>
              <w:right w:val="nil"/>
            </w:tcBorders>
            <w:shd w:val="clear" w:color="auto" w:fill="FFFFFF"/>
          </w:tcPr>
          <w:p w:rsidR="00C24DED" w:rsidRPr="00C24DED" w:rsidP="00C24DED">
            <w:r w:rsidRPr="00C24DED">
              <w:t>1</w:t>
            </w:r>
          </w:p>
        </w:tc>
        <w:tc>
          <w:tcPr>
            <w:tcW w:w="833" w:type="dxa"/>
            <w:tcBorders>
              <w:left w:val="nil"/>
              <w:right w:val="nil"/>
            </w:tcBorders>
            <w:shd w:val="clear" w:color="auto" w:fill="FFFFFF"/>
          </w:tcPr>
          <w:p w:rsidR="00C24DED" w:rsidRPr="00C24DED" w:rsidP="00C24DED">
            <w:r w:rsidRPr="00C24DED">
              <w:t>.091</w:t>
            </w:r>
          </w:p>
        </w:tc>
        <w:tc>
          <w:tcPr>
            <w:tcW w:w="1070" w:type="dxa"/>
            <w:tcBorders>
              <w:left w:val="nil"/>
              <w:right w:val="nil"/>
            </w:tcBorders>
            <w:shd w:val="clear" w:color="auto" w:fill="FFFFFF"/>
          </w:tcPr>
          <w:p w:rsidR="00C24DED" w:rsidRPr="00C24DED" w:rsidP="00C24DED">
            <w:r w:rsidRPr="00C24DED">
              <w:t>2.682</w:t>
            </w:r>
          </w:p>
        </w:tc>
        <w:tc>
          <w:tcPr>
            <w:tcW w:w="833" w:type="dxa"/>
            <w:tcBorders>
              <w:left w:val="nil"/>
              <w:right w:val="nil"/>
            </w:tcBorders>
            <w:shd w:val="clear" w:color="auto" w:fill="FFFFFF"/>
          </w:tcPr>
          <w:p w:rsidR="00C24DED" w:rsidRPr="00C24DED" w:rsidP="00C24DED">
            <w:r w:rsidRPr="00C24DED">
              <w:t>1</w:t>
            </w:r>
          </w:p>
        </w:tc>
        <w:tc>
          <w:tcPr>
            <w:tcW w:w="833" w:type="dxa"/>
            <w:tcBorders>
              <w:left w:val="nil"/>
              <w:right w:val="nil"/>
            </w:tcBorders>
            <w:shd w:val="clear" w:color="auto" w:fill="FFFFFF"/>
          </w:tcPr>
          <w:p w:rsidR="00C24DED" w:rsidRPr="00C24DED" w:rsidP="00C24DED">
            <w:r w:rsidRPr="00C24DED">
              <w:t>.101</w:t>
            </w:r>
          </w:p>
        </w:tc>
        <w:tc>
          <w:tcPr>
            <w:tcW w:w="1070" w:type="dxa"/>
            <w:tcBorders>
              <w:left w:val="nil"/>
              <w:right w:val="nil"/>
            </w:tcBorders>
            <w:shd w:val="clear" w:color="auto" w:fill="FFFFFF"/>
          </w:tcPr>
          <w:p w:rsidR="00C24DED" w:rsidRPr="00C24DED" w:rsidP="00C24DED">
            <w:r w:rsidRPr="00C24DED">
              <w:t>2.682</w:t>
            </w:r>
          </w:p>
        </w:tc>
        <w:tc>
          <w:tcPr>
            <w:tcW w:w="833" w:type="dxa"/>
            <w:tcBorders>
              <w:left w:val="nil"/>
              <w:right w:val="nil"/>
            </w:tcBorders>
            <w:shd w:val="clear" w:color="auto" w:fill="FFFFFF"/>
          </w:tcPr>
          <w:p w:rsidR="00C24DED" w:rsidRPr="00C24DED" w:rsidP="00C24DED">
            <w:r w:rsidRPr="00C24DED">
              <w:t>1</w:t>
            </w:r>
          </w:p>
        </w:tc>
        <w:tc>
          <w:tcPr>
            <w:tcW w:w="833" w:type="dxa"/>
            <w:tcBorders>
              <w:left w:val="nil"/>
              <w:right w:val="nil"/>
            </w:tcBorders>
            <w:shd w:val="clear" w:color="auto" w:fill="FFFFFF"/>
          </w:tcPr>
          <w:p w:rsidR="00C24DED" w:rsidRPr="00C24DED" w:rsidP="00C24DED">
            <w:r w:rsidRPr="00C24DED">
              <w:t>.101</w:t>
            </w:r>
          </w:p>
        </w:tc>
      </w:tr>
      <w:tr>
        <w:tblPrEx>
          <w:tblW w:w="9408" w:type="dxa"/>
          <w:tblLayout w:type="fixed"/>
          <w:tblCellMar>
            <w:top w:w="0" w:type="dxa"/>
            <w:left w:w="0" w:type="dxa"/>
            <w:bottom w:w="0" w:type="dxa"/>
            <w:right w:w="0" w:type="dxa"/>
          </w:tblCellMar>
          <w:tblLook w:val="0000"/>
        </w:tblPrEx>
        <w:trPr>
          <w:cantSplit/>
        </w:trPr>
        <w:tc>
          <w:tcPr>
            <w:tcW w:w="9402" w:type="dxa"/>
            <w:gridSpan w:val="10"/>
            <w:tcBorders>
              <w:top w:val="nil"/>
              <w:left w:val="nil"/>
              <w:bottom w:val="nil"/>
              <w:right w:val="nil"/>
            </w:tcBorders>
            <w:shd w:val="clear" w:color="auto" w:fill="FFFFFF"/>
          </w:tcPr>
          <w:p w:rsidR="00C24DED" w:rsidRPr="00C24DED" w:rsidP="00C24DED">
            <w:r w:rsidRPr="00C24DED">
              <w:t>a. Beginning Block Number 1. Method = Enter</w:t>
            </w:r>
          </w:p>
        </w:tc>
      </w:tr>
    </w:tbl>
    <w:p w:rsidR="00C24DED" w:rsidRPr="00C24DED" w:rsidP="00C24DED"/>
    <w:p w:rsidR="00C24DED" w:rsidP="005165D4">
      <w:pPr>
        <w:spacing w:line="480" w:lineRule="auto"/>
        <w:ind w:firstLine="720"/>
      </w:pPr>
      <w:r>
        <w:t>The omnibus test of the model shows that the p = 0.091, which means that the model fit was efficient in predicting the outcome investigated.</w:t>
      </w:r>
    </w:p>
    <w:p w:rsidR="00C24DED" w:rsidRPr="00C24DED" w:rsidP="00C24DED"/>
    <w:tbl>
      <w:tblPr>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000"/>
      </w:tblPr>
      <w:tblGrid>
        <w:gridCol w:w="2115"/>
        <w:gridCol w:w="886"/>
        <w:gridCol w:w="885"/>
        <w:gridCol w:w="885"/>
        <w:gridCol w:w="885"/>
        <w:gridCol w:w="885"/>
        <w:gridCol w:w="885"/>
        <w:gridCol w:w="991"/>
        <w:gridCol w:w="991"/>
      </w:tblGrid>
      <w:tr>
        <w:tblPrEx>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000"/>
        </w:tblPrEx>
        <w:trPr>
          <w:cantSplit/>
        </w:trPr>
        <w:tc>
          <w:tcPr>
            <w:tcW w:w="9406" w:type="dxa"/>
            <w:gridSpan w:val="9"/>
            <w:tcBorders>
              <w:top w:val="nil"/>
              <w:left w:val="nil"/>
              <w:bottom w:val="nil"/>
              <w:right w:val="nil"/>
            </w:tcBorders>
            <w:shd w:val="clear" w:color="auto" w:fill="FFFFFF"/>
            <w:vAlign w:val="center"/>
          </w:tcPr>
          <w:p w:rsidR="00C24DED" w:rsidRPr="00C24DED" w:rsidP="00C24DED">
            <w:r w:rsidRPr="00C24DED">
              <w:rPr>
                <w:i/>
                <w:iCs/>
              </w:rPr>
              <w:t>Variables in the Equation</w:t>
            </w:r>
          </w:p>
        </w:tc>
      </w:tr>
      <w:tr>
        <w:tblPrEx>
          <w:tblW w:w="9408" w:type="dxa"/>
          <w:tblLayout w:type="fixed"/>
          <w:tblCellMar>
            <w:top w:w="0" w:type="dxa"/>
            <w:left w:w="0" w:type="dxa"/>
            <w:bottom w:w="0" w:type="dxa"/>
            <w:right w:w="0" w:type="dxa"/>
          </w:tblCellMar>
          <w:tblLook w:val="0000"/>
        </w:tblPrEx>
        <w:trPr>
          <w:cantSplit/>
        </w:trPr>
        <w:tc>
          <w:tcPr>
            <w:tcW w:w="2114" w:type="dxa"/>
            <w:vMerge w:val="restart"/>
            <w:tcBorders>
              <w:left w:val="nil"/>
              <w:bottom w:val="nil"/>
              <w:right w:val="nil"/>
            </w:tcBorders>
            <w:shd w:val="clear" w:color="auto" w:fill="FFFFFF"/>
            <w:vAlign w:val="bottom"/>
          </w:tcPr>
          <w:p w:rsidR="00C24DED" w:rsidRPr="00C24DED" w:rsidP="00C24DED"/>
        </w:tc>
        <w:tc>
          <w:tcPr>
            <w:tcW w:w="885" w:type="dxa"/>
            <w:vMerge w:val="restart"/>
            <w:tcBorders>
              <w:left w:val="nil"/>
              <w:right w:val="nil"/>
            </w:tcBorders>
            <w:shd w:val="clear" w:color="auto" w:fill="FFFFFF"/>
            <w:vAlign w:val="bottom"/>
          </w:tcPr>
          <w:p w:rsidR="00C24DED" w:rsidRPr="00C24DED" w:rsidP="00C24DED">
            <w:r w:rsidRPr="00C24DED">
              <w:t>B</w:t>
            </w:r>
          </w:p>
        </w:tc>
        <w:tc>
          <w:tcPr>
            <w:tcW w:w="885" w:type="dxa"/>
            <w:vMerge w:val="restart"/>
            <w:tcBorders>
              <w:left w:val="nil"/>
              <w:right w:val="nil"/>
            </w:tcBorders>
            <w:shd w:val="clear" w:color="auto" w:fill="FFFFFF"/>
            <w:vAlign w:val="bottom"/>
          </w:tcPr>
          <w:p w:rsidR="00C24DED" w:rsidRPr="00C24DED" w:rsidP="00C24DED">
            <w:r w:rsidRPr="00C24DED">
              <w:t>SE</w:t>
            </w:r>
          </w:p>
        </w:tc>
        <w:tc>
          <w:tcPr>
            <w:tcW w:w="885" w:type="dxa"/>
            <w:vMerge w:val="restart"/>
            <w:tcBorders>
              <w:left w:val="nil"/>
              <w:right w:val="nil"/>
            </w:tcBorders>
            <w:shd w:val="clear" w:color="auto" w:fill="FFFFFF"/>
            <w:vAlign w:val="bottom"/>
          </w:tcPr>
          <w:p w:rsidR="00C24DED" w:rsidRPr="00C24DED" w:rsidP="00C24DED">
            <w:r w:rsidRPr="00C24DED">
              <w:t>Wald</w:t>
            </w:r>
          </w:p>
        </w:tc>
        <w:tc>
          <w:tcPr>
            <w:tcW w:w="885" w:type="dxa"/>
            <w:vMerge w:val="restart"/>
            <w:tcBorders>
              <w:left w:val="nil"/>
              <w:right w:val="nil"/>
            </w:tcBorders>
            <w:shd w:val="clear" w:color="auto" w:fill="FFFFFF"/>
            <w:vAlign w:val="bottom"/>
          </w:tcPr>
          <w:p w:rsidR="00C24DED" w:rsidRPr="00C24DED" w:rsidP="00C24DED">
            <w:r w:rsidRPr="00C24DED">
              <w:t>df</w:t>
            </w:r>
          </w:p>
        </w:tc>
        <w:tc>
          <w:tcPr>
            <w:tcW w:w="885" w:type="dxa"/>
            <w:vMerge w:val="restart"/>
            <w:tcBorders>
              <w:left w:val="nil"/>
              <w:right w:val="nil"/>
            </w:tcBorders>
            <w:shd w:val="clear" w:color="auto" w:fill="FFFFFF"/>
            <w:vAlign w:val="bottom"/>
          </w:tcPr>
          <w:p w:rsidR="00C24DED" w:rsidRPr="00C24DED" w:rsidP="00C24DED">
            <w:r w:rsidRPr="00C24DED">
              <w:t>Sig.</w:t>
            </w:r>
          </w:p>
        </w:tc>
        <w:tc>
          <w:tcPr>
            <w:tcW w:w="885" w:type="dxa"/>
            <w:vMerge w:val="restart"/>
            <w:tcBorders>
              <w:left w:val="nil"/>
              <w:right w:val="nil"/>
            </w:tcBorders>
            <w:shd w:val="clear" w:color="auto" w:fill="FFFFFF"/>
            <w:vAlign w:val="bottom"/>
          </w:tcPr>
          <w:p w:rsidR="00C24DED" w:rsidRPr="00C24DED" w:rsidP="00C24DED">
            <w:r w:rsidRPr="00C24DED">
              <w:t>Exp(B)</w:t>
            </w:r>
          </w:p>
        </w:tc>
        <w:tc>
          <w:tcPr>
            <w:tcW w:w="1982" w:type="dxa"/>
            <w:gridSpan w:val="2"/>
            <w:tcBorders>
              <w:left w:val="nil"/>
              <w:right w:val="nil"/>
            </w:tcBorders>
            <w:shd w:val="clear" w:color="auto" w:fill="FFFFFF"/>
            <w:vAlign w:val="bottom"/>
          </w:tcPr>
          <w:p w:rsidR="00C24DED" w:rsidRPr="00C24DED" w:rsidP="00C24DED">
            <w:r w:rsidRPr="00C24DED">
              <w:t>95.0% CI for Exp(B)</w:t>
            </w:r>
          </w:p>
        </w:tc>
      </w:tr>
      <w:tr>
        <w:tblPrEx>
          <w:tblW w:w="9408" w:type="dxa"/>
          <w:tblLayout w:type="fixed"/>
          <w:tblCellMar>
            <w:top w:w="0" w:type="dxa"/>
            <w:left w:w="0" w:type="dxa"/>
            <w:bottom w:w="0" w:type="dxa"/>
            <w:right w:w="0" w:type="dxa"/>
          </w:tblCellMar>
          <w:tblLook w:val="0000"/>
        </w:tblPrEx>
        <w:trPr>
          <w:cantSplit/>
        </w:trPr>
        <w:tc>
          <w:tcPr>
            <w:tcW w:w="2114" w:type="dxa"/>
            <w:vMerge/>
            <w:tcBorders>
              <w:left w:val="nil"/>
              <w:bottom w:val="nil"/>
              <w:right w:val="nil"/>
            </w:tcBorders>
            <w:shd w:val="clear" w:color="auto" w:fill="FFFFFF"/>
            <w:vAlign w:val="bottom"/>
          </w:tcPr>
          <w:p w:rsidR="00C24DED" w:rsidRPr="00C24DED" w:rsidP="00C24DED"/>
        </w:tc>
        <w:tc>
          <w:tcPr>
            <w:tcW w:w="885" w:type="dxa"/>
            <w:vMerge/>
            <w:tcBorders>
              <w:left w:val="nil"/>
              <w:right w:val="nil"/>
            </w:tcBorders>
            <w:shd w:val="clear" w:color="auto" w:fill="FFFFFF"/>
            <w:vAlign w:val="bottom"/>
          </w:tcPr>
          <w:p w:rsidR="00C24DED" w:rsidRPr="00C24DED" w:rsidP="00C24DED"/>
        </w:tc>
        <w:tc>
          <w:tcPr>
            <w:tcW w:w="885" w:type="dxa"/>
            <w:vMerge/>
            <w:tcBorders>
              <w:left w:val="nil"/>
              <w:right w:val="nil"/>
            </w:tcBorders>
            <w:shd w:val="clear" w:color="auto" w:fill="FFFFFF"/>
            <w:vAlign w:val="bottom"/>
          </w:tcPr>
          <w:p w:rsidR="00C24DED" w:rsidRPr="00C24DED" w:rsidP="00C24DED"/>
        </w:tc>
        <w:tc>
          <w:tcPr>
            <w:tcW w:w="885" w:type="dxa"/>
            <w:vMerge/>
            <w:tcBorders>
              <w:left w:val="nil"/>
              <w:right w:val="nil"/>
            </w:tcBorders>
            <w:shd w:val="clear" w:color="auto" w:fill="FFFFFF"/>
            <w:vAlign w:val="bottom"/>
          </w:tcPr>
          <w:p w:rsidR="00C24DED" w:rsidRPr="00C24DED" w:rsidP="00C24DED"/>
        </w:tc>
        <w:tc>
          <w:tcPr>
            <w:tcW w:w="885" w:type="dxa"/>
            <w:vMerge/>
            <w:tcBorders>
              <w:left w:val="nil"/>
              <w:right w:val="nil"/>
            </w:tcBorders>
            <w:shd w:val="clear" w:color="auto" w:fill="FFFFFF"/>
            <w:vAlign w:val="bottom"/>
          </w:tcPr>
          <w:p w:rsidR="00C24DED" w:rsidRPr="00C24DED" w:rsidP="00C24DED"/>
        </w:tc>
        <w:tc>
          <w:tcPr>
            <w:tcW w:w="885" w:type="dxa"/>
            <w:vMerge/>
            <w:tcBorders>
              <w:left w:val="nil"/>
              <w:right w:val="nil"/>
            </w:tcBorders>
            <w:shd w:val="clear" w:color="auto" w:fill="FFFFFF"/>
            <w:vAlign w:val="bottom"/>
          </w:tcPr>
          <w:p w:rsidR="00C24DED" w:rsidRPr="00C24DED" w:rsidP="00C24DED"/>
        </w:tc>
        <w:tc>
          <w:tcPr>
            <w:tcW w:w="885" w:type="dxa"/>
            <w:vMerge/>
            <w:tcBorders>
              <w:left w:val="nil"/>
              <w:right w:val="nil"/>
            </w:tcBorders>
            <w:shd w:val="clear" w:color="auto" w:fill="FFFFFF"/>
            <w:vAlign w:val="bottom"/>
          </w:tcPr>
          <w:p w:rsidR="00C24DED" w:rsidRPr="00C24DED" w:rsidP="00C24DED"/>
        </w:tc>
        <w:tc>
          <w:tcPr>
            <w:tcW w:w="991" w:type="dxa"/>
            <w:tcBorders>
              <w:left w:val="nil"/>
              <w:right w:val="nil"/>
            </w:tcBorders>
            <w:shd w:val="clear" w:color="auto" w:fill="FFFFFF"/>
            <w:vAlign w:val="bottom"/>
          </w:tcPr>
          <w:p w:rsidR="00C24DED" w:rsidRPr="00C24DED" w:rsidP="00C24DED">
            <w:r w:rsidRPr="00C24DED">
              <w:t>Lower</w:t>
            </w:r>
          </w:p>
        </w:tc>
        <w:tc>
          <w:tcPr>
            <w:tcW w:w="991" w:type="dxa"/>
            <w:tcBorders>
              <w:left w:val="nil"/>
              <w:right w:val="nil"/>
            </w:tcBorders>
            <w:shd w:val="clear" w:color="auto" w:fill="FFFFFF"/>
            <w:vAlign w:val="bottom"/>
          </w:tcPr>
          <w:p w:rsidR="00C24DED" w:rsidRPr="00C24DED" w:rsidP="00C24DED">
            <w:r w:rsidRPr="00C24DED">
              <w:t>Upper</w:t>
            </w:r>
          </w:p>
        </w:tc>
      </w:tr>
      <w:tr>
        <w:tblPrEx>
          <w:tblW w:w="9408" w:type="dxa"/>
          <w:tblLayout w:type="fixed"/>
          <w:tblCellMar>
            <w:top w:w="0" w:type="dxa"/>
            <w:left w:w="0" w:type="dxa"/>
            <w:bottom w:w="0" w:type="dxa"/>
            <w:right w:w="0" w:type="dxa"/>
          </w:tblCellMar>
          <w:tblLook w:val="0000"/>
        </w:tblPrEx>
        <w:trPr>
          <w:cantSplit/>
        </w:trPr>
        <w:tc>
          <w:tcPr>
            <w:tcW w:w="2114" w:type="dxa"/>
            <w:tcBorders>
              <w:left w:val="nil"/>
              <w:right w:val="nil"/>
            </w:tcBorders>
            <w:shd w:val="clear" w:color="auto" w:fill="FFFFFF"/>
          </w:tcPr>
          <w:p w:rsidR="00C24DED" w:rsidRPr="00C24DED" w:rsidP="00C24DED">
            <w:r w:rsidRPr="00C24DED">
              <w:t>Group (1 Chemo or 2 Placebo)</w:t>
            </w:r>
          </w:p>
        </w:tc>
        <w:tc>
          <w:tcPr>
            <w:tcW w:w="885" w:type="dxa"/>
            <w:tcBorders>
              <w:left w:val="nil"/>
              <w:right w:val="nil"/>
            </w:tcBorders>
            <w:shd w:val="clear" w:color="auto" w:fill="FFFFFF"/>
          </w:tcPr>
          <w:p w:rsidR="00C24DED" w:rsidRPr="00C24DED" w:rsidP="00C24DED">
            <w:r w:rsidRPr="00C24DED">
              <w:t>-1.200</w:t>
            </w:r>
          </w:p>
        </w:tc>
        <w:tc>
          <w:tcPr>
            <w:tcW w:w="885" w:type="dxa"/>
            <w:tcBorders>
              <w:left w:val="nil"/>
              <w:right w:val="nil"/>
            </w:tcBorders>
            <w:shd w:val="clear" w:color="auto" w:fill="FFFFFF"/>
          </w:tcPr>
          <w:p w:rsidR="00C24DED" w:rsidRPr="00C24DED" w:rsidP="00C24DED">
            <w:r w:rsidRPr="00C24DED">
              <w:t>.748</w:t>
            </w:r>
          </w:p>
        </w:tc>
        <w:tc>
          <w:tcPr>
            <w:tcW w:w="885" w:type="dxa"/>
            <w:tcBorders>
              <w:left w:val="nil"/>
              <w:right w:val="nil"/>
            </w:tcBorders>
            <w:shd w:val="clear" w:color="auto" w:fill="FFFFFF"/>
          </w:tcPr>
          <w:p w:rsidR="00C24DED" w:rsidRPr="00C24DED" w:rsidP="00C24DED">
            <w:r w:rsidRPr="00C24DED">
              <w:t>2.575</w:t>
            </w:r>
          </w:p>
        </w:tc>
        <w:tc>
          <w:tcPr>
            <w:tcW w:w="885" w:type="dxa"/>
            <w:tcBorders>
              <w:left w:val="nil"/>
              <w:right w:val="nil"/>
            </w:tcBorders>
            <w:shd w:val="clear" w:color="auto" w:fill="FFFFFF"/>
          </w:tcPr>
          <w:p w:rsidR="00C24DED" w:rsidRPr="00C24DED" w:rsidP="00C24DED">
            <w:r w:rsidRPr="00C24DED">
              <w:t>1</w:t>
            </w:r>
          </w:p>
        </w:tc>
        <w:tc>
          <w:tcPr>
            <w:tcW w:w="885" w:type="dxa"/>
            <w:tcBorders>
              <w:left w:val="nil"/>
              <w:right w:val="nil"/>
            </w:tcBorders>
            <w:shd w:val="clear" w:color="auto" w:fill="FFFFFF"/>
          </w:tcPr>
          <w:p w:rsidR="00C24DED" w:rsidRPr="00C24DED" w:rsidP="00C24DED">
            <w:r w:rsidRPr="00C24DED">
              <w:t>.109</w:t>
            </w:r>
          </w:p>
        </w:tc>
        <w:tc>
          <w:tcPr>
            <w:tcW w:w="885" w:type="dxa"/>
            <w:tcBorders>
              <w:left w:val="nil"/>
              <w:right w:val="nil"/>
            </w:tcBorders>
            <w:shd w:val="clear" w:color="auto" w:fill="FFFFFF"/>
          </w:tcPr>
          <w:p w:rsidR="00C24DED" w:rsidRPr="00C24DED" w:rsidP="00C24DED">
            <w:r w:rsidRPr="00C24DED">
              <w:t>.301</w:t>
            </w:r>
          </w:p>
        </w:tc>
        <w:tc>
          <w:tcPr>
            <w:tcW w:w="991" w:type="dxa"/>
            <w:tcBorders>
              <w:left w:val="nil"/>
              <w:right w:val="nil"/>
            </w:tcBorders>
            <w:shd w:val="clear" w:color="auto" w:fill="FFFFFF"/>
          </w:tcPr>
          <w:p w:rsidR="00C24DED" w:rsidRPr="00C24DED" w:rsidP="00C24DED">
            <w:r w:rsidRPr="00C24DED">
              <w:t>.070</w:t>
            </w:r>
          </w:p>
        </w:tc>
        <w:tc>
          <w:tcPr>
            <w:tcW w:w="991" w:type="dxa"/>
            <w:tcBorders>
              <w:left w:val="nil"/>
              <w:right w:val="nil"/>
            </w:tcBorders>
            <w:shd w:val="clear" w:color="auto" w:fill="FFFFFF"/>
          </w:tcPr>
          <w:p w:rsidR="00C24DED" w:rsidRPr="00C24DED" w:rsidP="00C24DED">
            <w:r w:rsidRPr="00C24DED">
              <w:t>1.304</w:t>
            </w:r>
          </w:p>
        </w:tc>
      </w:tr>
    </w:tbl>
    <w:p w:rsidR="00C24DED" w:rsidRPr="00C24DED" w:rsidP="00C24DED"/>
    <w:p w:rsidR="00C24DED" w:rsidP="005165D4">
      <w:pPr>
        <w:spacing w:line="480" w:lineRule="auto"/>
        <w:ind w:firstLine="720"/>
      </w:pPr>
      <w:r>
        <w:t xml:space="preserve">The study sought to </w:t>
      </w:r>
      <w:r w:rsidR="00E71561">
        <w:t>investigate</w:t>
      </w:r>
      <w:r>
        <w:t xml:space="preserve"> whether the treatment group influences the outcomes. However, the results show that at a 95% </w:t>
      </w:r>
      <w:r w:rsidR="00E71561">
        <w:t>confidence</w:t>
      </w:r>
      <w:r>
        <w:t xml:space="preserve"> level, the group does not significantly predict the outcome.</w:t>
      </w:r>
    </w:p>
    <w:p w:rsidR="00C24DED" w:rsidP="00C24DED">
      <w:r w:rsidRPr="00C24DED">
        <w:drawing>
          <wp:inline distT="0" distB="0" distL="0" distR="0">
            <wp:extent cx="5974080" cy="30175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4080" cy="3017520"/>
                    </a:xfrm>
                    <a:prstGeom prst="rect">
                      <a:avLst/>
                    </a:prstGeom>
                    <a:noFill/>
                    <a:ln>
                      <a:noFill/>
                    </a:ln>
                  </pic:spPr>
                </pic:pic>
              </a:graphicData>
            </a:graphic>
          </wp:inline>
        </w:drawing>
      </w:r>
    </w:p>
    <w:p w:rsidR="00C24DED" w:rsidP="005165D4">
      <w:pPr>
        <w:spacing w:line="480" w:lineRule="auto"/>
        <w:ind w:firstLine="720"/>
      </w:pPr>
      <w:r>
        <w:t xml:space="preserve">The survival analysis plots show a difference in serial </w:t>
      </w:r>
      <w:r w:rsidR="00E71561">
        <w:t>time between</w:t>
      </w:r>
      <w:r>
        <w:t xml:space="preserve"> the chemo and placebo group. The chemo group is shown to have a higher chance of survival compared to the placebo group. </w:t>
      </w:r>
    </w:p>
    <w:p w:rsidR="00C24DED" w:rsidP="00C24DED">
      <w:r>
        <w:t>Discussion and conclusion</w:t>
      </w:r>
    </w:p>
    <w:p w:rsidR="00C24DED" w:rsidP="005165D4">
      <w:pPr>
        <w:spacing w:line="480" w:lineRule="auto"/>
        <w:ind w:firstLine="720"/>
      </w:pPr>
      <w:r>
        <w:t xml:space="preserve">The findings from the analysis have shown </w:t>
      </w:r>
      <w:r w:rsidR="00E71561">
        <w:t>that even</w:t>
      </w:r>
      <w:r>
        <w:t xml:space="preserve"> though the results are not significantly different between chemo group and placebo group based on the serial time. There is </w:t>
      </w:r>
      <w:r w:rsidR="004C13D2">
        <w:t xml:space="preserve">a difference in serial time between the groups based on the survival analysis plots. Patients who underwent chemo had a higher chance of survival compared to patients in the placebo group. According to Issels et al. (2018), investigating the implication of neoadjuvant chemotherapy and regional hyperthermia on </w:t>
      </w:r>
      <w:r w:rsidR="00E71561">
        <w:t>long-term</w:t>
      </w:r>
      <w:r w:rsidR="004C13D2">
        <w:t xml:space="preserve"> outcomes among patients showed that patients who were enrolled in the chemotherapy group </w:t>
      </w:r>
      <w:r w:rsidR="00E71561">
        <w:t>had a prolonged</w:t>
      </w:r>
      <w:r w:rsidR="004C13D2">
        <w:t xml:space="preserve"> survival rate with a 62% </w:t>
      </w:r>
      <w:r w:rsidR="00E71561">
        <w:t>five-year</w:t>
      </w:r>
      <w:r w:rsidR="004C13D2">
        <w:t xml:space="preserve"> survival rate. Similarly, </w:t>
      </w:r>
      <w:r w:rsidRPr="004C13D2" w:rsidR="004C13D2">
        <w:t>Chikhladze</w:t>
      </w:r>
      <w:r w:rsidR="004C13D2">
        <w:t xml:space="preserve"> et al. (2019) found that patients' survival after adjuvant chemotherapy was increased compared to that of patients without chemotherapy. </w:t>
      </w:r>
      <w:r w:rsidRPr="004C13D2" w:rsidR="004C13D2">
        <w:t xml:space="preserve">Chemotherapy has been associated with improved outcomes, which present a broader basis within which it is possible to make informed decisions regarding the patient's </w:t>
      </w:r>
      <w:r w:rsidRPr="004C13D2" w:rsidR="004C13D2">
        <w:t xml:space="preserve">wellbeing. It would be essential to </w:t>
      </w:r>
      <w:r w:rsidRPr="004C13D2" w:rsidR="00E71561">
        <w:t>consider chemotherapy</w:t>
      </w:r>
      <w:r w:rsidRPr="004C13D2" w:rsidR="004C13D2">
        <w:t xml:space="preserve"> for patients with this condition because of the slight increase in the seral time compared to the placebo group.</w:t>
      </w: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E71561" w:rsidP="005165D4">
      <w:pPr>
        <w:spacing w:line="480" w:lineRule="auto"/>
        <w:ind w:firstLine="720"/>
      </w:pPr>
    </w:p>
    <w:p w:rsidR="004C13D2" w:rsidP="00C24DED"/>
    <w:p w:rsidR="004C13D2" w:rsidRPr="00E71561" w:rsidP="00E71561">
      <w:pPr>
        <w:jc w:val="center"/>
        <w:rPr>
          <w:b/>
        </w:rPr>
      </w:pPr>
      <w:r w:rsidRPr="00E71561">
        <w:rPr>
          <w:b/>
        </w:rPr>
        <w:t>References</w:t>
      </w:r>
    </w:p>
    <w:p w:rsidR="00E71561" w:rsidP="00E71561">
      <w:pPr>
        <w:spacing w:line="480" w:lineRule="auto"/>
        <w:ind w:left="720" w:hanging="720"/>
      </w:pPr>
      <w:r w:rsidRPr="004C13D2">
        <w:t>Austin, P. C. (2017). A tutorial on multilevel survival analysis: methods, models and applications. </w:t>
      </w:r>
      <w:r w:rsidRPr="004C13D2">
        <w:rPr>
          <w:i/>
          <w:iCs/>
        </w:rPr>
        <w:t>International Statistical Review</w:t>
      </w:r>
      <w:r w:rsidRPr="004C13D2">
        <w:t>, </w:t>
      </w:r>
      <w:r w:rsidRPr="004C13D2">
        <w:rPr>
          <w:i/>
          <w:iCs/>
        </w:rPr>
        <w:t>85</w:t>
      </w:r>
      <w:r w:rsidRPr="004C13D2">
        <w:t>(2), 185-203.</w:t>
      </w:r>
    </w:p>
    <w:p w:rsidR="00E71561" w:rsidP="00E71561">
      <w:pPr>
        <w:spacing w:line="480" w:lineRule="auto"/>
        <w:ind w:left="720" w:hanging="720"/>
      </w:pPr>
      <w:r w:rsidRPr="004C13D2">
        <w:t>Chikhladze, S., Lederer, A. K., Kousoulas, L., Reinmuth, M., Sick, O., Fichtner-Feigl, S., &amp; Wittel, U. A. (2019). Adjuvant chemotherapy after surgery for pancreatic ductal adenocarcinoma: retrospective real-life data. </w:t>
      </w:r>
      <w:r w:rsidRPr="004C13D2">
        <w:rPr>
          <w:i/>
          <w:iCs/>
        </w:rPr>
        <w:t>World journal of surgical oncology</w:t>
      </w:r>
      <w:r w:rsidRPr="004C13D2">
        <w:t>, </w:t>
      </w:r>
      <w:r w:rsidRPr="004C13D2">
        <w:rPr>
          <w:i/>
          <w:iCs/>
        </w:rPr>
        <w:t>17</w:t>
      </w:r>
      <w:r w:rsidRPr="004C13D2">
        <w:t>(1), 1-11.</w:t>
      </w:r>
    </w:p>
    <w:p w:rsidR="00E71561" w:rsidP="00E71561">
      <w:pPr>
        <w:spacing w:line="480" w:lineRule="auto"/>
        <w:ind w:left="720" w:hanging="720"/>
      </w:pPr>
      <w:r w:rsidRPr="004C13D2">
        <w:t>Issels, R. D., Lindner, L. H., Verweij, J., Wessalowski, R., Reichardt, P., Wust, P., ... &amp; Gronchi, A. (2018). Effect of neoadjuvant chemotherapy plus regional hyperthermia on long-term outcomes among patients with localized high-risk soft tissue sarcoma: the EORTC 62961-ESHO 95 randomized clinical trial. </w:t>
      </w:r>
      <w:r w:rsidRPr="004C13D2">
        <w:rPr>
          <w:i/>
          <w:iCs/>
        </w:rPr>
        <w:t>JAMA oncology</w:t>
      </w:r>
      <w:r w:rsidRPr="004C13D2">
        <w:t>, </w:t>
      </w:r>
      <w:r w:rsidRPr="004C13D2">
        <w:rPr>
          <w:i/>
          <w:iCs/>
        </w:rPr>
        <w:t>4</w:t>
      </w:r>
      <w:r w:rsidRPr="004C13D2">
        <w:t>(4), 483-492.</w:t>
      </w:r>
    </w:p>
    <w:p w:rsidR="004C13D2" w:rsidP="00C24DED"/>
    <w:p w:rsidR="004C13D2" w:rsidRPr="00C24DED" w:rsidP="00C24DED"/>
    <w:p w:rsidR="00C24DED" w:rsidRPr="00C24DED" w:rsidP="00C24DED"/>
    <w:p w:rsidR="00C24DED" w:rsidRPr="00C24DED" w:rsidP="00C24DED"/>
    <w:p w:rsidR="00C24DED"/>
    <w:p w:rsidR="0025751A"/>
    <w:p w:rsidR="00496622"/>
    <w:p w:rsidR="00496622"/>
    <w:p w:rsidR="00496622"/>
    <w:p w:rsidR="007C6CAF">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AF"/>
    <w:rsid w:val="0025751A"/>
    <w:rsid w:val="00496622"/>
    <w:rsid w:val="004B3715"/>
    <w:rsid w:val="004C13D2"/>
    <w:rsid w:val="005165D4"/>
    <w:rsid w:val="007C6CAF"/>
    <w:rsid w:val="00C24DED"/>
    <w:rsid w:val="00C36482"/>
    <w:rsid w:val="00E71561"/>
    <w:rsid w:val="00EA57DA"/>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442F7FF5"/>
  <w15:chartTrackingRefBased/>
  <w15:docId w15:val="{B02CE630-A6C0-4D4F-B2D4-CBBF6635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dc:creator>
  <cp:lastModifiedBy>kelvi</cp:lastModifiedBy>
  <cp:revision>5</cp:revision>
  <dcterms:created xsi:type="dcterms:W3CDTF">2021-04-13T05:57:00Z</dcterms:created>
  <dcterms:modified xsi:type="dcterms:W3CDTF">2021-04-13T07:12:00Z</dcterms:modified>
</cp:coreProperties>
</file>